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18" w:lineRule="auto"/>
        <w:ind w:left="2920"/>
        <w:rPr>
          <w:rFonts w:ascii="Arial" w:hAnsi="Arial" w:cs="Arial"/>
          <w:b/>
          <w:bCs/>
          <w:color w:val="C00000"/>
          <w:sz w:val="48"/>
          <w:szCs w:val="48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18" w:lineRule="auto"/>
        <w:ind w:left="2920"/>
        <w:rPr>
          <w:rFonts w:ascii="Arial" w:hAnsi="Arial" w:cs="Arial"/>
          <w:b/>
          <w:bCs/>
          <w:color w:val="C00000"/>
          <w:sz w:val="48"/>
          <w:szCs w:val="48"/>
        </w:rPr>
      </w:pPr>
    </w:p>
    <w:p w:rsidR="00174490" w:rsidRDefault="00CE59C3">
      <w:pPr>
        <w:widowControl w:val="0"/>
        <w:autoSpaceDE w:val="0"/>
        <w:autoSpaceDN w:val="0"/>
        <w:adjustRightInd w:val="0"/>
        <w:spacing w:after="0" w:line="218" w:lineRule="auto"/>
        <w:ind w:left="29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SEMINARIO TALLER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32"/>
          <w:szCs w:val="32"/>
        </w:rPr>
        <w:t>“Nuevo Esquema de Empresas Certificadas NEEC“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overflowPunct w:val="0"/>
        <w:autoSpaceDE w:val="0"/>
        <w:autoSpaceDN w:val="0"/>
        <w:adjustRightInd w:val="0"/>
        <w:spacing w:after="0" w:line="2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El programa de Operador Económico Autorizado promovido por la Organización Mundial de Aduanas para asegurar y facilitar el comercio global llego a México con la publicación del NUEVO ESQUEMA DE EMPRESAS CERTIFICADAS (NEEC) vigente a partir del 1 de Enero de 2012.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El NEEC podrá impactar severamente sus operaciones aduaneras y de comercio </w:t>
      </w:r>
      <w:r>
        <w:rPr>
          <w:rFonts w:ascii="Arial" w:hAnsi="Arial" w:cs="Arial"/>
          <w:sz w:val="29"/>
          <w:szCs w:val="29"/>
        </w:rPr>
        <w:t>internacional si actualmente cuenta con autorización en el registro de empresas certificadas de la AGA y no realiza oportunamente el análisis costo/beneficio y decide solicitar registro bajo en Nuevo Esquema.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overflowPunct w:val="0"/>
        <w:autoSpaceDE w:val="0"/>
        <w:autoSpaceDN w:val="0"/>
        <w:adjustRightInd w:val="0"/>
        <w:spacing w:after="0" w:line="29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7"/>
          <w:szCs w:val="27"/>
        </w:rPr>
        <w:t xml:space="preserve">Con independencia de las negociaciones que realice el INDEX Consejo Nacional y su Asociación de Maquiladoras ante el SAT para evitar que pierda beneficios, sobre todo tan repentinamente, consideramos que usted debe estar en posibilidad de analizar su caso particular y decidir oportunamente el tiempo en que le es </w:t>
      </w:r>
      <w:r>
        <w:rPr>
          <w:rFonts w:ascii="Arial" w:hAnsi="Arial" w:cs="Arial"/>
          <w:sz w:val="26"/>
          <w:szCs w:val="26"/>
        </w:rPr>
        <w:t>conveniente solicitar registro con las nuevas condiciones del NEEC.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Es por esto que le hemos preparado este Seminario-Taller en el que abordaremos EXCLUSIVAMENTE los temas que le interesan para planear mejor sus operaciones de comercio exterior, identificar aéreas de oportunidad y evitar contingencias fiscales.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4490">
          <w:headerReference w:type="default" r:id="rId8"/>
          <w:pgSz w:w="10800" w:h="14400"/>
          <w:pgMar w:top="123" w:right="560" w:bottom="1440" w:left="560" w:header="720" w:footer="720" w:gutter="0"/>
          <w:cols w:space="720" w:equalWidth="0">
            <w:col w:w="9680"/>
          </w:cols>
          <w:noEndnote/>
        </w:sect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2E1A44">
      <w:pPr>
        <w:widowControl w:val="0"/>
        <w:autoSpaceDE w:val="0"/>
        <w:autoSpaceDN w:val="0"/>
        <w:adjustRightInd w:val="0"/>
        <w:spacing w:after="0" w:line="240" w:lineRule="auto"/>
        <w:ind w:left="171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48"/>
          <w:szCs w:val="48"/>
        </w:rPr>
        <w:t>D</w:t>
      </w:r>
      <w:r w:rsidR="00CE59C3">
        <w:rPr>
          <w:rFonts w:ascii="Arial" w:hAnsi="Arial" w:cs="Arial"/>
          <w:b/>
          <w:bCs/>
          <w:color w:val="800000"/>
          <w:sz w:val="48"/>
          <w:szCs w:val="48"/>
        </w:rPr>
        <w:t>esarrollo del Seminario Taller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23" w:lineRule="auto"/>
        <w:ind w:left="536" w:right="300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Antecedentes del NEEC. </w:t>
      </w:r>
      <w:r>
        <w:rPr>
          <w:rFonts w:ascii="Arial" w:hAnsi="Arial" w:cs="Arial"/>
          <w:color w:val="1F497D"/>
          <w:sz w:val="32"/>
          <w:szCs w:val="32"/>
        </w:rPr>
        <w:t>El Operador Económico Autorizado de la OMA,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color w:val="1F497D"/>
          <w:sz w:val="32"/>
          <w:szCs w:val="32"/>
        </w:rPr>
        <w:t xml:space="preserve">C-TPAT y el VEEC.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88" w:lineRule="auto"/>
        <w:ind w:left="536" w:hanging="536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Migración de BENEFICIOS (facilidades). Los que ya no tendrá si no acepta participar en el NEEC. </w:t>
      </w:r>
      <w:r>
        <w:rPr>
          <w:rFonts w:ascii="Arial" w:hAnsi="Arial" w:cs="Arial"/>
          <w:color w:val="1F497D"/>
          <w:sz w:val="27"/>
          <w:szCs w:val="27"/>
        </w:rPr>
        <w:t>Un análisis detallado de cada uno de ellos.</w:t>
      </w:r>
      <w:r>
        <w:rPr>
          <w:rFonts w:ascii="Arial" w:hAnsi="Arial" w:cs="Arial"/>
          <w:sz w:val="27"/>
          <w:szCs w:val="27"/>
        </w:rPr>
        <w:t xml:space="preserve">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7"/>
          <w:szCs w:val="27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6" w:lineRule="exact"/>
        <w:rPr>
          <w:rFonts w:ascii="Arial" w:hAnsi="Arial" w:cs="Arial"/>
          <w:sz w:val="27"/>
          <w:szCs w:val="27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23" w:lineRule="auto"/>
        <w:ind w:left="536" w:right="160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Beneficios que conserva a pesar de todo. </w:t>
      </w:r>
      <w:r>
        <w:rPr>
          <w:rFonts w:ascii="Arial" w:hAnsi="Arial" w:cs="Arial"/>
          <w:color w:val="1F497D"/>
          <w:sz w:val="32"/>
          <w:szCs w:val="32"/>
        </w:rPr>
        <w:t>Los que podrá conservar con un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color w:val="1F497D"/>
          <w:sz w:val="32"/>
          <w:szCs w:val="32"/>
        </w:rPr>
        <w:t xml:space="preserve">trámite similar al anterior.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40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Los que ya no tendrá.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40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Nuevos requisitos.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40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NUEVOS PLAZOS. El tiempo que le queda si no le entra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67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23" w:lineRule="auto"/>
        <w:ind w:left="536" w:right="120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PERFIL Necesario para solicitar registro en el NEEC y contar con beneficios que antes ya tenía.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40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PERFIL – Gestión Aduanera y sus implicaciones.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40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 análisis de factores relevantes en la toma de decisión.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1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39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Un principio al análisis de costo/beneficio.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74490">
          <w:pgSz w:w="10800" w:h="14400"/>
          <w:pgMar w:top="146" w:right="840" w:bottom="1440" w:left="624" w:header="720" w:footer="720" w:gutter="0"/>
          <w:cols w:space="720" w:equalWidth="0">
            <w:col w:w="9336"/>
          </w:cols>
          <w:noEndnote/>
        </w:sect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E1A44" w:rsidRDefault="002E1A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autoSpaceDE w:val="0"/>
        <w:autoSpaceDN w:val="0"/>
        <w:adjustRightInd w:val="0"/>
        <w:spacing w:after="0" w:line="240" w:lineRule="auto"/>
        <w:ind w:left="269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800000"/>
          <w:sz w:val="48"/>
          <w:szCs w:val="48"/>
        </w:rPr>
        <w:t>Otros Temas relacionados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174490" w:rsidRDefault="00CE59C3">
      <w:pPr>
        <w:widowControl w:val="0"/>
        <w:numPr>
          <w:ilvl w:val="0"/>
          <w:numId w:val="2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23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Certificación SECIIT. </w:t>
      </w:r>
      <w:r>
        <w:rPr>
          <w:rFonts w:ascii="Arial" w:hAnsi="Arial" w:cs="Arial"/>
          <w:color w:val="4F81BD"/>
          <w:sz w:val="32"/>
          <w:szCs w:val="32"/>
        </w:rPr>
        <w:t>Lo que le falta por hacer para ahorrar en costos de logística y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color w:val="4F81BD"/>
          <w:sz w:val="32"/>
          <w:szCs w:val="32"/>
        </w:rPr>
        <w:t xml:space="preserve">contingencias fiscales.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2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23" w:lineRule="auto"/>
        <w:ind w:left="536" w:hanging="5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Control de Inventarios para Empresas Certificadas SECIIT. </w:t>
      </w:r>
      <w:r>
        <w:rPr>
          <w:rFonts w:ascii="Arial" w:hAnsi="Arial" w:cs="Arial"/>
          <w:color w:val="4F81BD"/>
          <w:sz w:val="32"/>
          <w:szCs w:val="32"/>
        </w:rPr>
        <w:t>Transparencia y sincronía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color w:val="4F81BD"/>
          <w:sz w:val="32"/>
          <w:szCs w:val="32"/>
        </w:rPr>
        <w:t xml:space="preserve">entre manufactura y aduanas. </w:t>
      </w:r>
    </w:p>
    <w:p w:rsidR="00174490" w:rsidRDefault="0017449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32"/>
          <w:szCs w:val="32"/>
        </w:rPr>
      </w:pPr>
    </w:p>
    <w:p w:rsidR="00174490" w:rsidRDefault="00174490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32"/>
          <w:szCs w:val="32"/>
        </w:rPr>
      </w:pPr>
    </w:p>
    <w:p w:rsidR="00174490" w:rsidRDefault="00CE59C3">
      <w:pPr>
        <w:widowControl w:val="0"/>
        <w:numPr>
          <w:ilvl w:val="0"/>
          <w:numId w:val="2"/>
        </w:numPr>
        <w:tabs>
          <w:tab w:val="clear" w:pos="720"/>
          <w:tab w:val="num" w:pos="536"/>
        </w:tabs>
        <w:overflowPunct w:val="0"/>
        <w:autoSpaceDE w:val="0"/>
        <w:autoSpaceDN w:val="0"/>
        <w:adjustRightInd w:val="0"/>
        <w:spacing w:after="0" w:line="234" w:lineRule="auto"/>
        <w:ind w:left="536" w:hanging="536"/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Control de inventarios de acuerdo al Anexo 24. Nuevos y más sencillos </w:t>
      </w:r>
      <w:r>
        <w:rPr>
          <w:rFonts w:ascii="Arial" w:hAnsi="Arial" w:cs="Arial"/>
          <w:sz w:val="30"/>
          <w:szCs w:val="30"/>
        </w:rPr>
        <w:t xml:space="preserve">requerimientos. </w:t>
      </w:r>
      <w:r>
        <w:rPr>
          <w:rFonts w:ascii="Arial" w:hAnsi="Arial" w:cs="Arial"/>
          <w:color w:val="4F81BD"/>
          <w:sz w:val="30"/>
          <w:szCs w:val="30"/>
        </w:rPr>
        <w:t>¿para qué gastar más en un control que no agrega valor?</w:t>
      </w:r>
      <w:r>
        <w:rPr>
          <w:rFonts w:ascii="Arial" w:hAnsi="Arial" w:cs="Arial"/>
          <w:sz w:val="30"/>
          <w:szCs w:val="30"/>
        </w:rPr>
        <w:t xml:space="preserve"> </w:t>
      </w:r>
    </w:p>
    <w:p w:rsidR="00CE59C3" w:rsidRDefault="00CE59C3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BA559F" w:rsidRDefault="00BA559F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</w:p>
    <w:p w:rsidR="00BA559F" w:rsidRP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 w:rsidRPr="00BA559F">
        <w:rPr>
          <w:rFonts w:ascii="Arial" w:hAnsi="Arial" w:cs="Arial"/>
          <w:b/>
          <w:color w:val="FF0000"/>
          <w:sz w:val="28"/>
          <w:szCs w:val="28"/>
        </w:rPr>
        <w:t>Curric</w:t>
      </w:r>
      <w:bookmarkStart w:id="0" w:name="_GoBack"/>
      <w:bookmarkEnd w:id="0"/>
      <w:r w:rsidRPr="00BA559F">
        <w:rPr>
          <w:rFonts w:ascii="Arial" w:hAnsi="Arial" w:cs="Arial"/>
          <w:b/>
          <w:color w:val="FF0000"/>
          <w:sz w:val="28"/>
          <w:szCs w:val="28"/>
        </w:rPr>
        <w:t>ulum</w:t>
      </w:r>
      <w:proofErr w:type="spellEnd"/>
      <w:r w:rsidRPr="00BA559F">
        <w:rPr>
          <w:rFonts w:ascii="Arial" w:hAnsi="Arial" w:cs="Arial"/>
          <w:b/>
          <w:color w:val="FF0000"/>
          <w:sz w:val="28"/>
          <w:szCs w:val="28"/>
        </w:rPr>
        <w:t xml:space="preserve"> del Expositor</w:t>
      </w:r>
    </w:p>
    <w:p w:rsid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59F">
        <w:rPr>
          <w:rFonts w:ascii="Arial" w:hAnsi="Arial" w:cs="Arial"/>
          <w:sz w:val="24"/>
          <w:szCs w:val="24"/>
        </w:rPr>
        <w:t>• Socio Director de Facilitadora y Servicios de Comercio Exterior S. C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(</w:t>
      </w:r>
      <w:proofErr w:type="spellStart"/>
      <w:r w:rsidRPr="00BA559F">
        <w:rPr>
          <w:rFonts w:ascii="Arial" w:hAnsi="Arial" w:cs="Arial"/>
          <w:sz w:val="24"/>
          <w:szCs w:val="24"/>
        </w:rPr>
        <w:t>FaSCE</w:t>
      </w:r>
      <w:proofErr w:type="spellEnd"/>
      <w:r w:rsidRPr="00BA559F">
        <w:rPr>
          <w:rFonts w:ascii="Arial" w:hAnsi="Arial" w:cs="Arial"/>
          <w:sz w:val="24"/>
          <w:szCs w:val="24"/>
        </w:rPr>
        <w:t xml:space="preserve"> LUMAR), con sede en Ciudad Juárez.</w:t>
      </w:r>
    </w:p>
    <w:p w:rsidR="00BA559F" w:rsidRP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59F">
        <w:rPr>
          <w:rFonts w:ascii="Arial" w:hAnsi="Arial" w:cs="Arial"/>
          <w:sz w:val="24"/>
          <w:szCs w:val="24"/>
        </w:rPr>
        <w:t>• Asesor del INDEX Consejo Nacional (CNIMME A.C.).</w:t>
      </w:r>
    </w:p>
    <w:p w:rsidR="00BA559F" w:rsidRP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59F">
        <w:rPr>
          <w:rFonts w:ascii="Arial" w:hAnsi="Arial" w:cs="Arial"/>
          <w:sz w:val="24"/>
          <w:szCs w:val="24"/>
        </w:rPr>
        <w:t>• Fue Consejero Nacional del CNIME más de 18 años, periodo en el que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ocupó puestos como el de Vicepresidente, Secretario, Director del Comité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Fiscal, Director del Comité de Comercio Exterior, Director del Comité de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Economía (antes SECOFI).</w:t>
      </w:r>
    </w:p>
    <w:p w:rsidR="00BA559F" w:rsidRP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59F" w:rsidRPr="00BA559F" w:rsidRDefault="00BA559F" w:rsidP="00BA5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59F">
        <w:rPr>
          <w:rFonts w:ascii="Arial" w:hAnsi="Arial" w:cs="Arial"/>
          <w:sz w:val="24"/>
          <w:szCs w:val="24"/>
        </w:rPr>
        <w:t>• En sus más de 25 años de experiencia en las áreas Fiscal, Aduanera y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Administrativa en la Industria Maquiladora de Exportación, a dirigido y/o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participado en las negociaciones del CNIMME para la definición del esquema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fiscal aplicable a maquiladoras, las facilidades de los trámites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aduaneros y los</w:t>
      </w:r>
      <w:r>
        <w:rPr>
          <w:rFonts w:ascii="Arial" w:hAnsi="Arial" w:cs="Arial"/>
          <w:sz w:val="24"/>
          <w:szCs w:val="24"/>
        </w:rPr>
        <w:t xml:space="preserve"> </w:t>
      </w:r>
      <w:r w:rsidRPr="00BA559F">
        <w:rPr>
          <w:rFonts w:ascii="Arial" w:hAnsi="Arial" w:cs="Arial"/>
          <w:sz w:val="24"/>
          <w:szCs w:val="24"/>
        </w:rPr>
        <w:t>diversos decretos para el fomento de esta industria.</w:t>
      </w:r>
    </w:p>
    <w:sectPr w:rsidR="00BA559F" w:rsidRPr="00BA559F" w:rsidSect="002E1A44">
      <w:pgSz w:w="10800" w:h="14400"/>
      <w:pgMar w:top="89" w:right="140" w:bottom="744" w:left="144" w:header="720" w:footer="720" w:gutter="0"/>
      <w:cols w:space="720" w:equalWidth="0">
        <w:col w:w="1051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56" w:rsidRDefault="00A22556" w:rsidP="002E1A44">
      <w:pPr>
        <w:spacing w:after="0" w:line="240" w:lineRule="auto"/>
      </w:pPr>
      <w:r>
        <w:separator/>
      </w:r>
    </w:p>
  </w:endnote>
  <w:endnote w:type="continuationSeparator" w:id="0">
    <w:p w:rsidR="00A22556" w:rsidRDefault="00A22556" w:rsidP="002E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56" w:rsidRDefault="00A22556" w:rsidP="002E1A44">
      <w:pPr>
        <w:spacing w:after="0" w:line="240" w:lineRule="auto"/>
      </w:pPr>
      <w:r>
        <w:separator/>
      </w:r>
    </w:p>
  </w:footnote>
  <w:footnote w:type="continuationSeparator" w:id="0">
    <w:p w:rsidR="00A22556" w:rsidRDefault="00A22556" w:rsidP="002E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44" w:rsidRDefault="002E1A4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-304800</wp:posOffset>
          </wp:positionV>
          <wp:extent cx="6143625" cy="1171575"/>
          <wp:effectExtent l="0" t="0" r="9525" b="9525"/>
          <wp:wrapNone/>
          <wp:docPr id="1" name="Imagen 1" descr="C:\AIMMO\banner 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IMMO\banner 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A44"/>
    <w:rsid w:val="00174490"/>
    <w:rsid w:val="002E1A44"/>
    <w:rsid w:val="00A22556"/>
    <w:rsid w:val="00BA559F"/>
    <w:rsid w:val="00CE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A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A44"/>
  </w:style>
  <w:style w:type="paragraph" w:styleId="Piedepgina">
    <w:name w:val="footer"/>
    <w:basedOn w:val="Normal"/>
    <w:link w:val="PiedepginaCar"/>
    <w:uiPriority w:val="99"/>
    <w:unhideWhenUsed/>
    <w:rsid w:val="002E1A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1A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A44"/>
  </w:style>
  <w:style w:type="paragraph" w:styleId="Piedepgina">
    <w:name w:val="footer"/>
    <w:basedOn w:val="Normal"/>
    <w:link w:val="PiedepginaCar"/>
    <w:uiPriority w:val="99"/>
    <w:unhideWhenUsed/>
    <w:rsid w:val="002E1A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Ruiz</dc:creator>
  <cp:lastModifiedBy>Gabriel Ruiz</cp:lastModifiedBy>
  <cp:revision>3</cp:revision>
  <dcterms:created xsi:type="dcterms:W3CDTF">2012-01-18T14:39:00Z</dcterms:created>
  <dcterms:modified xsi:type="dcterms:W3CDTF">2012-01-18T15:18:00Z</dcterms:modified>
</cp:coreProperties>
</file>